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盐山县扶贫开发办公室扶贫股事迹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盐山县扶贫开发办公室扶贫股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负责全县拟订扶贫项目规划和年度计划，以及扶贫项目的搜集、考察、论证、立项、申报工作。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近年来，围绕全县脱贫工作做了大量工作。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一、事无巨细，顺利通过省级评估、验收、考核和国家评估。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围绕迎国检做了大量前期准备工作，顺利通过了省级评估、验收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，在2017年度全省62个贫困县脱贫攻坚成效考核中位居前列。盐山扶贫的相关做法被列入“十个正面典型案例”，得到省委书记王东峰同志的肯定性批示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二、立足精准，严格贫困人口动态管理。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动态调整制度，每季度一次动态调整。建立精准脱贫数据中心，打造动态管理、指挥调度、监督检查、群众反馈、防贫监测“五大平台”，相关做法被新华社、经济日报、河北日报等媒体予以推广，得到省市及国务院扶贫办领导的充分肯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三、力促增收，扎实推进产业扶贫全覆盖。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把产业扶贫作为主攻方向，整合扶贫资金4568万元，集中投入优质涉农企业，发放收益金460.371万元，实现了产业扶贫收益全覆盖。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1329A6"/>
    <w:rsid w:val="00870A62"/>
    <w:rsid w:val="00CC2FA0"/>
    <w:rsid w:val="00DE5652"/>
    <w:rsid w:val="0E6575F6"/>
    <w:rsid w:val="19B8205C"/>
    <w:rsid w:val="1C1329A6"/>
    <w:rsid w:val="1E841412"/>
    <w:rsid w:val="223F0B34"/>
    <w:rsid w:val="24EF0447"/>
    <w:rsid w:val="2611051C"/>
    <w:rsid w:val="2F972CE8"/>
    <w:rsid w:val="32E63A30"/>
    <w:rsid w:val="5107369E"/>
    <w:rsid w:val="6536553C"/>
    <w:rsid w:val="68787709"/>
    <w:rsid w:val="70941F68"/>
    <w:rsid w:val="71ED24B0"/>
    <w:rsid w:val="734C0FE8"/>
    <w:rsid w:val="76553ACB"/>
    <w:rsid w:val="7C505C5C"/>
    <w:rsid w:val="7F833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33333"/>
      <w:u w:val="none"/>
    </w:rPr>
  </w:style>
  <w:style w:type="character" w:styleId="12">
    <w:name w:val="HTML Code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styleId="13">
    <w:name w:val="HTML Cite"/>
    <w:basedOn w:val="5"/>
    <w:uiPriority w:val="0"/>
  </w:style>
  <w:style w:type="character" w:customStyle="1" w:styleId="15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458</Characters>
  <Lines>3</Lines>
  <Paragraphs>1</Paragraphs>
  <ScaleCrop>false</ScaleCrop>
  <LinksUpToDate>false</LinksUpToDate>
  <CharactersWithSpaces>537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2019-03-01T07:25:00Z</dcterms:created>
  <dc:creator>靠谱儿先生</dc:creator>
  <cp:lastModifiedBy>li</cp:lastModifiedBy>
  <cp:lastPrinted>2019-03-04T01:37:00Z</cp:lastPrinted>
  <dcterms:modified xsi:type="dcterms:W3CDTF">2019-03-13T02:33:27Z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